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1755"/>
        <w:gridCol w:w="1935"/>
        <w:gridCol w:w="2070"/>
        <w:gridCol w:w="2280"/>
        <w:gridCol w:w="1685"/>
        <w:tblGridChange w:id="0">
          <w:tblGrid>
            <w:gridCol w:w="2050"/>
            <w:gridCol w:w="1755"/>
            <w:gridCol w:w="1935"/>
            <w:gridCol w:w="2070"/>
            <w:gridCol w:w="2280"/>
            <w:gridCol w:w="1685"/>
          </w:tblGrid>
        </w:tblGridChange>
      </w:tblGrid>
      <w:tr>
        <w:trPr>
          <w:trHeight w:val="63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Σάβ.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 Β΄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 / Γερμανικά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ind w:lef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ind w:lef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95375" cy="3556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56">
      <w:pPr>
        <w:ind w:left="720"/>
        <w:rPr/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Cx7D6V5odPtzq3ppSs66QdB6A==">AMUW2mVG9zBOIrk2DrVkeqXiGMq8FGx0C4IWjb+GUMsaBT+k0W31wE1uL2oGZGYVRFj5NUJEwDDRq2ljUcfInsgiVT2fhgUFiJ9Mi1UfGXTx6wpx/SyHTcDLJmK35ogfpaWQmpngioNP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